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0"/>
        <w:gridCol w:w="3838"/>
      </w:tblGrid>
      <w:tr w:rsidR="00056CD3">
        <w:trPr>
          <w:trHeight w:val="580"/>
        </w:trPr>
        <w:tc>
          <w:tcPr>
            <w:tcW w:w="12120" w:type="dxa"/>
            <w:vMerge w:val="restart"/>
          </w:tcPr>
          <w:p w:rsidR="00056CD3" w:rsidRDefault="00F76505">
            <w:pPr>
              <w:pStyle w:val="TableParagraph"/>
              <w:spacing w:before="66" w:line="240" w:lineRule="auto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ANEXO 19</w:t>
            </w:r>
          </w:p>
          <w:p w:rsidR="00056CD3" w:rsidRDefault="00F76505">
            <w:pPr>
              <w:pStyle w:val="TableParagraph"/>
              <w:spacing w:before="121" w:line="240" w:lineRule="auto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Demonstrativo da Disponibilidade de Caixa e dos Restos a Pagar</w:t>
            </w:r>
          </w:p>
        </w:tc>
        <w:tc>
          <w:tcPr>
            <w:tcW w:w="3838" w:type="dxa"/>
          </w:tcPr>
          <w:p w:rsidR="00056CD3" w:rsidRDefault="00F76505">
            <w:pPr>
              <w:pStyle w:val="TableParagraph"/>
              <w:spacing w:before="81" w:line="240" w:lineRule="auto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Poder/Órgão :</w:t>
            </w:r>
          </w:p>
          <w:p w:rsidR="00056CD3" w:rsidRDefault="00F76505">
            <w:pPr>
              <w:pStyle w:val="TableParagraph"/>
              <w:spacing w:before="56" w:line="240" w:lineRule="auto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PREFEITURA MUNICIPAL DE UPANEMA</w:t>
            </w:r>
          </w:p>
        </w:tc>
      </w:tr>
      <w:tr w:rsidR="00056CD3">
        <w:trPr>
          <w:trHeight w:val="578"/>
        </w:trPr>
        <w:tc>
          <w:tcPr>
            <w:tcW w:w="12120" w:type="dxa"/>
            <w:vMerge/>
            <w:tcBorders>
              <w:top w:val="nil"/>
            </w:tcBorders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:rsidR="00056CD3" w:rsidRDefault="00F76505">
            <w:pPr>
              <w:pStyle w:val="TableParagraph"/>
              <w:spacing w:before="64" w:line="240" w:lineRule="auto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Bimestre de Referência:</w:t>
            </w:r>
          </w:p>
          <w:p w:rsidR="00056CD3" w:rsidRDefault="00F76505">
            <w:pPr>
              <w:pStyle w:val="TableParagraph"/>
              <w:spacing w:before="92" w:line="240" w:lineRule="auto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06/2019</w:t>
            </w:r>
          </w:p>
        </w:tc>
      </w:tr>
    </w:tbl>
    <w:p w:rsidR="00056CD3" w:rsidRDefault="00056CD3">
      <w:pPr>
        <w:pStyle w:val="Corpodetexto"/>
        <w:spacing w:before="8"/>
        <w:rPr>
          <w:rFonts w:ascii="Times New Roman"/>
          <w:sz w:val="10"/>
        </w:rPr>
      </w:pPr>
    </w:p>
    <w:p w:rsidR="00056CD3" w:rsidRDefault="00056CD3">
      <w:pPr>
        <w:rPr>
          <w:rFonts w:ascii="Times New Roman"/>
          <w:sz w:val="10"/>
        </w:rPr>
        <w:sectPr w:rsidR="00056CD3">
          <w:type w:val="continuous"/>
          <w:pgSz w:w="16840" w:h="11910" w:orient="landscape"/>
          <w:pgMar w:top="700" w:right="280" w:bottom="280" w:left="380" w:header="720" w:footer="720" w:gutter="0"/>
          <w:cols w:space="720"/>
        </w:sectPr>
      </w:pPr>
    </w:p>
    <w:p w:rsidR="00056CD3" w:rsidRDefault="00F76505">
      <w:pPr>
        <w:pStyle w:val="Corpodetexto"/>
        <w:spacing w:before="95"/>
        <w:ind w:left="138"/>
      </w:pPr>
      <w:r>
        <w:t>LRF, art 55, inciso III, alínea "a" - Anexo XIX</w:t>
      </w:r>
    </w:p>
    <w:p w:rsidR="00056CD3" w:rsidRDefault="00F76505">
      <w:pPr>
        <w:spacing w:before="100"/>
        <w:ind w:left="138"/>
        <w:rPr>
          <w:sz w:val="14"/>
        </w:rPr>
      </w:pPr>
      <w:r>
        <w:br w:type="column"/>
      </w:r>
      <w:r>
        <w:rPr>
          <w:sz w:val="14"/>
        </w:rPr>
        <w:t>Em Reais</w:t>
      </w:r>
    </w:p>
    <w:p w:rsidR="00056CD3" w:rsidRDefault="00056CD3">
      <w:pPr>
        <w:rPr>
          <w:sz w:val="14"/>
        </w:rPr>
        <w:sectPr w:rsidR="00056CD3">
          <w:type w:val="continuous"/>
          <w:pgSz w:w="16840" w:h="11910" w:orient="landscape"/>
          <w:pgMar w:top="700" w:right="280" w:bottom="280" w:left="380" w:header="720" w:footer="720" w:gutter="0"/>
          <w:cols w:num="2" w:space="720" w:equalWidth="0">
            <w:col w:w="3432" w:space="11899"/>
            <w:col w:w="849"/>
          </w:cols>
        </w:sectPr>
      </w:pPr>
    </w:p>
    <w:p w:rsidR="00056CD3" w:rsidRDefault="00056CD3">
      <w:pPr>
        <w:pStyle w:val="Corpodetexto"/>
        <w:spacing w:before="6"/>
        <w:rPr>
          <w:sz w:val="3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1450"/>
        <w:gridCol w:w="1116"/>
        <w:gridCol w:w="998"/>
        <w:gridCol w:w="1120"/>
        <w:gridCol w:w="1079"/>
        <w:gridCol w:w="1105"/>
        <w:gridCol w:w="1431"/>
        <w:gridCol w:w="1035"/>
        <w:gridCol w:w="1249"/>
        <w:gridCol w:w="1259"/>
      </w:tblGrid>
      <w:tr w:rsidR="00056CD3">
        <w:trPr>
          <w:trHeight w:val="280"/>
        </w:trPr>
        <w:tc>
          <w:tcPr>
            <w:tcW w:w="4085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056CD3">
            <w:pPr>
              <w:pStyle w:val="TableParagraph"/>
              <w:spacing w:before="0" w:line="240" w:lineRule="auto"/>
              <w:jc w:val="left"/>
              <w:rPr>
                <w:sz w:val="12"/>
              </w:rPr>
            </w:pPr>
          </w:p>
          <w:p w:rsidR="00056CD3" w:rsidRDefault="00056CD3">
            <w:pPr>
              <w:pStyle w:val="TableParagraph"/>
              <w:spacing w:before="0" w:line="240" w:lineRule="auto"/>
              <w:jc w:val="left"/>
              <w:rPr>
                <w:sz w:val="12"/>
              </w:rPr>
            </w:pPr>
          </w:p>
          <w:p w:rsidR="00056CD3" w:rsidRDefault="00056CD3">
            <w:pPr>
              <w:pStyle w:val="TableParagraph"/>
              <w:spacing w:before="9" w:line="240" w:lineRule="auto"/>
              <w:jc w:val="left"/>
              <w:rPr>
                <w:sz w:val="16"/>
              </w:rPr>
            </w:pPr>
          </w:p>
          <w:p w:rsidR="00056CD3" w:rsidRDefault="00F76505">
            <w:pPr>
              <w:pStyle w:val="TableParagraph"/>
              <w:spacing w:before="0" w:line="240" w:lineRule="auto"/>
              <w:ind w:left="107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IDENTIFICAÇÃO DOS RECURSOS</w:t>
            </w:r>
          </w:p>
        </w:tc>
        <w:tc>
          <w:tcPr>
            <w:tcW w:w="1450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056CD3">
            <w:pPr>
              <w:pStyle w:val="TableParagraph"/>
              <w:spacing w:before="0" w:line="240" w:lineRule="auto"/>
              <w:jc w:val="left"/>
              <w:rPr>
                <w:sz w:val="12"/>
              </w:rPr>
            </w:pPr>
          </w:p>
          <w:p w:rsidR="00056CD3" w:rsidRDefault="00056CD3">
            <w:pPr>
              <w:pStyle w:val="TableParagraph"/>
              <w:spacing w:before="10" w:line="240" w:lineRule="auto"/>
              <w:jc w:val="left"/>
              <w:rPr>
                <w:sz w:val="11"/>
              </w:rPr>
            </w:pPr>
          </w:p>
          <w:p w:rsidR="00056CD3" w:rsidRDefault="00F76505">
            <w:pPr>
              <w:pStyle w:val="TableParagraph"/>
              <w:spacing w:before="0" w:line="254" w:lineRule="auto"/>
              <w:ind w:left="81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DISPONIBILIDADE DE CAIXA BRUTA</w:t>
            </w:r>
          </w:p>
          <w:p w:rsidR="00056CD3" w:rsidRDefault="00F76505">
            <w:pPr>
              <w:pStyle w:val="TableParagraph"/>
              <w:spacing w:before="0" w:line="240" w:lineRule="auto"/>
              <w:ind w:left="81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(a)</w:t>
            </w:r>
          </w:p>
        </w:tc>
        <w:tc>
          <w:tcPr>
            <w:tcW w:w="4313" w:type="dxa"/>
            <w:gridSpan w:val="4"/>
            <w:shd w:val="clear" w:color="auto" w:fill="BFBFBF"/>
          </w:tcPr>
          <w:p w:rsidR="00056CD3" w:rsidRDefault="00F76505">
            <w:pPr>
              <w:pStyle w:val="TableParagraph"/>
              <w:spacing w:line="240" w:lineRule="auto"/>
              <w:ind w:left="128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OBRIGAÇÕES FINANCEIRAS</w:t>
            </w:r>
          </w:p>
        </w:tc>
        <w:tc>
          <w:tcPr>
            <w:tcW w:w="1105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line="256" w:lineRule="auto"/>
              <w:ind w:left="102" w:right="59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INSUFICIÊNCIA FINANCEIRA VERIFICADA </w:t>
            </w:r>
            <w:r>
              <w:rPr>
                <w:b/>
                <w:spacing w:val="-7"/>
                <w:sz w:val="12"/>
              </w:rPr>
              <w:t xml:space="preserve">NO </w:t>
            </w:r>
            <w:r>
              <w:rPr>
                <w:b/>
                <w:sz w:val="12"/>
              </w:rPr>
              <w:t>CONSÓRCIO PÚBLICO</w:t>
            </w:r>
          </w:p>
          <w:p w:rsidR="00056CD3" w:rsidRDefault="00F76505">
            <w:pPr>
              <w:pStyle w:val="TableParagraph"/>
              <w:spacing w:before="0" w:line="134" w:lineRule="exact"/>
              <w:ind w:left="491" w:right="4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(f)</w:t>
            </w:r>
          </w:p>
        </w:tc>
        <w:tc>
          <w:tcPr>
            <w:tcW w:w="1431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line="256" w:lineRule="auto"/>
              <w:ind w:left="61" w:right="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DISPONIBILIDADE DE CAIXA LÍQUIDA (ANTES DA INSCRIÇÃO EM RESTOS A PAGAR NÃO PROCESSADOS DO EXERCÍCIO)</w:t>
            </w:r>
          </w:p>
          <w:p w:rsidR="00056CD3" w:rsidRDefault="00F76505">
            <w:pPr>
              <w:pStyle w:val="TableParagraph"/>
              <w:spacing w:before="0" w:line="134" w:lineRule="exact"/>
              <w:ind w:left="57" w:right="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(g) = (a- (b+c+d+e)-f)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line="254" w:lineRule="auto"/>
              <w:ind w:left="21" w:right="41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RESTOS A PAGAR EMPENHADOS </w:t>
            </w:r>
            <w:r>
              <w:rPr>
                <w:b/>
                <w:spacing w:val="-16"/>
                <w:sz w:val="12"/>
              </w:rPr>
              <w:t xml:space="preserve">E </w:t>
            </w:r>
            <w:r>
              <w:rPr>
                <w:b/>
                <w:sz w:val="12"/>
              </w:rPr>
              <w:t>NÃO   LIQUIDADOS DO EXERCÍCIO</w:t>
            </w:r>
          </w:p>
          <w:p w:rsidR="00056CD3" w:rsidRDefault="00F76505">
            <w:pPr>
              <w:pStyle w:val="TableParagraph"/>
              <w:spacing w:before="6" w:line="240" w:lineRule="auto"/>
              <w:ind w:left="407" w:right="4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(h)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line="254" w:lineRule="auto"/>
              <w:ind w:left="25" w:right="38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EMPENHOS NÃO LIQUIDADOS CANCELADOS </w:t>
            </w:r>
            <w:r>
              <w:rPr>
                <w:b/>
                <w:spacing w:val="-5"/>
                <w:sz w:val="12"/>
              </w:rPr>
              <w:t xml:space="preserve">(NÃO </w:t>
            </w:r>
            <w:r>
              <w:rPr>
                <w:b/>
                <w:sz w:val="12"/>
              </w:rPr>
              <w:t>INSCRITOS POR INSUFICIÊNCIA FINANCEIRA)</w:t>
            </w:r>
          </w:p>
        </w:tc>
        <w:tc>
          <w:tcPr>
            <w:tcW w:w="1259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line="256" w:lineRule="auto"/>
              <w:ind w:left="89" w:right="74" w:hanging="3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DISPONIBILIDADE </w:t>
            </w:r>
            <w:r>
              <w:rPr>
                <w:b/>
                <w:sz w:val="12"/>
              </w:rPr>
              <w:t xml:space="preserve">DE CAIXA </w:t>
            </w:r>
            <w:r>
              <w:rPr>
                <w:b/>
                <w:spacing w:val="-3"/>
                <w:sz w:val="12"/>
              </w:rPr>
              <w:t xml:space="preserve">LÍQUIDA </w:t>
            </w:r>
            <w:r>
              <w:rPr>
                <w:b/>
                <w:sz w:val="12"/>
              </w:rPr>
              <w:t>(APÓS A INSCRIÇÃO EM RESTOS A PAGAR</w:t>
            </w:r>
          </w:p>
          <w:p w:rsidR="00056CD3" w:rsidRDefault="00F76505">
            <w:pPr>
              <w:pStyle w:val="TableParagraph"/>
              <w:spacing w:before="0" w:line="259" w:lineRule="auto"/>
              <w:ind w:left="3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NÃO</w:t>
            </w:r>
            <w:r>
              <w:rPr>
                <w:b/>
                <w:spacing w:val="-16"/>
                <w:sz w:val="12"/>
              </w:rPr>
              <w:t xml:space="preserve"> </w:t>
            </w:r>
            <w:r>
              <w:rPr>
                <w:b/>
                <w:sz w:val="12"/>
              </w:rPr>
              <w:t>PROCESSADOS 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EXERCÍCIO)</w:t>
            </w:r>
          </w:p>
          <w:p w:rsidR="00056CD3" w:rsidRDefault="00F76505">
            <w:pPr>
              <w:pStyle w:val="TableParagraph"/>
              <w:spacing w:before="0" w:line="135" w:lineRule="exact"/>
              <w:ind w:left="38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(i) = (g-h)</w:t>
            </w:r>
          </w:p>
        </w:tc>
      </w:tr>
      <w:tr w:rsidR="00056CD3">
        <w:trPr>
          <w:trHeight w:val="386"/>
        </w:trPr>
        <w:tc>
          <w:tcPr>
            <w:tcW w:w="4085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gridSpan w:val="2"/>
            <w:shd w:val="clear" w:color="auto" w:fill="BFBFBF"/>
          </w:tcPr>
          <w:p w:rsidR="00056CD3" w:rsidRDefault="00F76505">
            <w:pPr>
              <w:pStyle w:val="TableParagraph"/>
              <w:spacing w:before="0" w:line="127" w:lineRule="exact"/>
              <w:ind w:left="89" w:right="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Liquidados e Não</w:t>
            </w:r>
          </w:p>
          <w:p w:rsidR="00056CD3" w:rsidRDefault="00F76505">
            <w:pPr>
              <w:pStyle w:val="TableParagraph"/>
              <w:spacing w:before="8" w:line="240" w:lineRule="auto"/>
              <w:ind w:left="89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before="0" w:line="127" w:lineRule="exact"/>
              <w:ind w:left="111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</w:t>
            </w:r>
          </w:p>
          <w:p w:rsidR="00056CD3" w:rsidRDefault="00F76505">
            <w:pPr>
              <w:pStyle w:val="TableParagraph"/>
              <w:spacing w:before="8" w:line="256" w:lineRule="auto"/>
              <w:ind w:left="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Empenhados e Não Liquidados de Exercícios Anteriores</w:t>
            </w:r>
          </w:p>
          <w:p w:rsidR="00056CD3" w:rsidRDefault="00F76505">
            <w:pPr>
              <w:pStyle w:val="TableParagraph"/>
              <w:spacing w:before="0" w:line="135" w:lineRule="exact"/>
              <w:ind w:left="79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before="0" w:line="127" w:lineRule="exact"/>
              <w:ind w:left="309" w:right="2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Demais</w:t>
            </w:r>
          </w:p>
          <w:p w:rsidR="00056CD3" w:rsidRDefault="00F76505">
            <w:pPr>
              <w:pStyle w:val="TableParagraph"/>
              <w:spacing w:before="8" w:line="254" w:lineRule="auto"/>
              <w:ind w:left="209" w:right="195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Obrigações Financeiras (e)</w:t>
            </w:r>
          </w:p>
        </w:tc>
        <w:tc>
          <w:tcPr>
            <w:tcW w:w="1105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</w:tr>
      <w:tr w:rsidR="00056CD3">
        <w:trPr>
          <w:trHeight w:val="596"/>
        </w:trPr>
        <w:tc>
          <w:tcPr>
            <w:tcW w:w="4085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before="0" w:line="125" w:lineRule="exact"/>
              <w:ind w:left="135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 Exercícios</w:t>
            </w:r>
          </w:p>
          <w:p w:rsidR="00056CD3" w:rsidRDefault="00F76505">
            <w:pPr>
              <w:pStyle w:val="TableParagraph"/>
              <w:spacing w:before="8" w:line="259" w:lineRule="auto"/>
              <w:ind w:left="244" w:right="2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Anteriores (b)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BFBFBF"/>
          </w:tcPr>
          <w:p w:rsidR="00056CD3" w:rsidRDefault="00F76505">
            <w:pPr>
              <w:pStyle w:val="TableParagraph"/>
              <w:spacing w:before="0" w:line="125" w:lineRule="exact"/>
              <w:ind w:left="101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 Exercício</w:t>
            </w:r>
          </w:p>
          <w:p w:rsidR="00056CD3" w:rsidRDefault="00056CD3">
            <w:pPr>
              <w:pStyle w:val="TableParagraph"/>
              <w:spacing w:before="7" w:line="240" w:lineRule="auto"/>
              <w:jc w:val="left"/>
              <w:rPr>
                <w:sz w:val="13"/>
              </w:rPr>
            </w:pPr>
          </w:p>
          <w:p w:rsidR="00056CD3" w:rsidRDefault="00F76505">
            <w:pPr>
              <w:pStyle w:val="TableParagraph"/>
              <w:spacing w:before="0" w:line="240" w:lineRule="auto"/>
              <w:ind w:left="101" w:righ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(c)</w:t>
            </w:r>
          </w:p>
        </w:tc>
        <w:tc>
          <w:tcPr>
            <w:tcW w:w="1120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BFBFBF"/>
          </w:tcPr>
          <w:p w:rsidR="00056CD3" w:rsidRDefault="00056CD3">
            <w:pPr>
              <w:rPr>
                <w:sz w:val="2"/>
                <w:szCs w:val="2"/>
              </w:rPr>
            </w:pPr>
          </w:p>
        </w:tc>
      </w:tr>
      <w:tr w:rsidR="00056CD3">
        <w:trPr>
          <w:trHeight w:val="216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0"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TOTAL DOS RECURSOS NÃO VINCULADOS (I)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1.097.608,95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33"/>
              <w:rPr>
                <w:sz w:val="14"/>
              </w:rPr>
            </w:pPr>
            <w:r>
              <w:rPr>
                <w:sz w:val="14"/>
              </w:rPr>
              <w:t>27.658,51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2.850,00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1.067.100,44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31.083,94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39" w:line="158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1.036.016,50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1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Recursos Ordinários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1.097.608,95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33"/>
              <w:rPr>
                <w:sz w:val="14"/>
              </w:rPr>
            </w:pPr>
            <w:r>
              <w:rPr>
                <w:sz w:val="14"/>
              </w:rPr>
              <w:t>27.658,51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73"/>
              <w:rPr>
                <w:sz w:val="14"/>
              </w:rPr>
            </w:pPr>
            <w:r>
              <w:rPr>
                <w:w w:val="95"/>
                <w:sz w:val="14"/>
              </w:rPr>
              <w:t>2.850,00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1.067.100,44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31.083,94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1.036.016,50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1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Outros Recursos não Vinculados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1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5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1" w:line="240" w:lineRule="auto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TOTAL DOS RECURSOS VINCULADOS (II)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2.391.923,58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127.952,28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431.460,47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1.832.510,83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49.903,06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158" w:lineRule="exact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1.782.607,77</w:t>
            </w:r>
          </w:p>
        </w:tc>
      </w:tr>
      <w:tr w:rsidR="00056CD3">
        <w:trPr>
          <w:trHeight w:val="338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1" w:line="160" w:lineRule="atLeast"/>
              <w:ind w:left="47" w:firstLine="153"/>
              <w:jc w:val="left"/>
              <w:rPr>
                <w:sz w:val="14"/>
              </w:rPr>
            </w:pPr>
            <w:r>
              <w:rPr>
                <w:sz w:val="14"/>
              </w:rPr>
              <w:t>Receitas de Impostos e de Transferência de Impostos - Educação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65"/>
              <w:rPr>
                <w:sz w:val="14"/>
              </w:rPr>
            </w:pPr>
            <w:r>
              <w:rPr>
                <w:sz w:val="14"/>
              </w:rPr>
              <w:t>21.283,63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590,73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59"/>
              <w:rPr>
                <w:sz w:val="14"/>
              </w:rPr>
            </w:pPr>
            <w:r>
              <w:rPr>
                <w:sz w:val="14"/>
              </w:rPr>
              <w:t>20.692,90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62" w:line="240" w:lineRule="auto"/>
              <w:ind w:right="122"/>
              <w:rPr>
                <w:sz w:val="14"/>
              </w:rPr>
            </w:pPr>
            <w:r>
              <w:rPr>
                <w:sz w:val="14"/>
              </w:rPr>
              <w:t>20.692,90</w:t>
            </w:r>
          </w:p>
        </w:tc>
      </w:tr>
      <w:tr w:rsidR="00056CD3">
        <w:trPr>
          <w:trHeight w:val="226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0" w:line="158" w:lineRule="exact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Transferências do FUNDEB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1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33"/>
              <w:rPr>
                <w:sz w:val="14"/>
              </w:rPr>
            </w:pPr>
            <w:r>
              <w:rPr>
                <w:sz w:val="14"/>
              </w:rPr>
              <w:t>69.553,83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-69.553,83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0"/>
              <w:ind w:right="76"/>
              <w:rPr>
                <w:sz w:val="14"/>
              </w:rPr>
            </w:pPr>
            <w:r>
              <w:rPr>
                <w:w w:val="95"/>
                <w:sz w:val="14"/>
              </w:rPr>
              <w:t>(69.553,83)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0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Outros Recursos Vinculados à Educação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5.057,84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6"/>
              <w:rPr>
                <w:sz w:val="14"/>
              </w:rPr>
            </w:pPr>
            <w:r>
              <w:rPr>
                <w:w w:val="95"/>
                <w:sz w:val="14"/>
              </w:rPr>
              <w:t>(5.057,84)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0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Transferência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38.476,24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-38.476,24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1.934,00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6"/>
              <w:rPr>
                <w:sz w:val="14"/>
              </w:rPr>
            </w:pPr>
            <w:r>
              <w:rPr>
                <w:w w:val="95"/>
                <w:sz w:val="14"/>
              </w:rPr>
              <w:t>(40.410,24)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0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Outros Recursos Vinculados à Saúde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1.948.002,69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17.461,61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377.695,49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1.552.845,59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1.296,58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1.551.549,01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0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Recursos Vinculados à Assistência Social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138.964,04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383,49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138.580,55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475,28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138.105,27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0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Recursos Vinculados ao RPPS - Plano Previdênciário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0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Recursos Vinculados ao RPPS - Plano Financeiro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6CD3">
        <w:trPr>
          <w:trHeight w:val="338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0" w:line="160" w:lineRule="atLeast"/>
              <w:ind w:left="47" w:firstLine="153"/>
              <w:jc w:val="left"/>
              <w:rPr>
                <w:sz w:val="14"/>
              </w:rPr>
            </w:pPr>
            <w:r>
              <w:rPr>
                <w:sz w:val="14"/>
              </w:rPr>
              <w:t>Recursos de Operações de Crédito (exceto vinculados à Educação e á Saúde)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1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5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6CD3">
        <w:trPr>
          <w:trHeight w:val="227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0" w:line="160" w:lineRule="exact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Recursos de Alienação de Bens/Ativos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1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5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51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6CD3">
        <w:trPr>
          <w:trHeight w:val="240"/>
        </w:trPr>
        <w:tc>
          <w:tcPr>
            <w:tcW w:w="408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spacing w:before="10" w:line="240" w:lineRule="auto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Outros Recursos Vinculados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283.673,22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1.486,38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73"/>
              <w:rPr>
                <w:sz w:val="14"/>
              </w:rPr>
            </w:pPr>
            <w:r>
              <w:rPr>
                <w:sz w:val="14"/>
              </w:rPr>
              <w:t>53.764,98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228.421,86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41.139,36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6CD3" w:rsidRDefault="00F76505">
            <w:pPr>
              <w:pStyle w:val="TableParagraph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187.282,50</w:t>
            </w:r>
          </w:p>
        </w:tc>
      </w:tr>
      <w:tr w:rsidR="00056CD3">
        <w:trPr>
          <w:trHeight w:val="486"/>
        </w:trPr>
        <w:tc>
          <w:tcPr>
            <w:tcW w:w="4085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before="10" w:line="240" w:lineRule="auto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TOTAL(III) = (I+II)</w:t>
            </w:r>
          </w:p>
        </w:tc>
        <w:tc>
          <w:tcPr>
            <w:tcW w:w="1450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65"/>
              <w:rPr>
                <w:sz w:val="14"/>
              </w:rPr>
            </w:pPr>
            <w:r>
              <w:rPr>
                <w:w w:val="95"/>
                <w:sz w:val="14"/>
              </w:rPr>
              <w:t>3.489.532,53</w:t>
            </w:r>
          </w:p>
        </w:tc>
        <w:tc>
          <w:tcPr>
            <w:tcW w:w="1116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155.610,79</w:t>
            </w:r>
          </w:p>
        </w:tc>
        <w:tc>
          <w:tcPr>
            <w:tcW w:w="1120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434.310,47</w:t>
            </w:r>
          </w:p>
        </w:tc>
        <w:tc>
          <w:tcPr>
            <w:tcW w:w="1079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5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60"/>
              <w:rPr>
                <w:sz w:val="14"/>
              </w:rPr>
            </w:pPr>
            <w:r>
              <w:rPr>
                <w:w w:val="95"/>
                <w:sz w:val="14"/>
              </w:rPr>
              <w:t>2.899.611,27</w:t>
            </w:r>
          </w:p>
        </w:tc>
        <w:tc>
          <w:tcPr>
            <w:tcW w:w="1035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50"/>
              <w:rPr>
                <w:sz w:val="14"/>
              </w:rPr>
            </w:pPr>
            <w:r>
              <w:rPr>
                <w:sz w:val="14"/>
              </w:rPr>
              <w:t>80.987,00</w:t>
            </w:r>
          </w:p>
        </w:tc>
        <w:tc>
          <w:tcPr>
            <w:tcW w:w="1249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right="4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9" w:type="dxa"/>
            <w:tcBorders>
              <w:top w:val="nil"/>
            </w:tcBorders>
          </w:tcPr>
          <w:p w:rsidR="00056CD3" w:rsidRDefault="00F76505">
            <w:pPr>
              <w:pStyle w:val="TableParagraph"/>
              <w:spacing w:line="240" w:lineRule="auto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2.818.624,27</w:t>
            </w:r>
          </w:p>
        </w:tc>
      </w:tr>
    </w:tbl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056CD3">
      <w:pPr>
        <w:pStyle w:val="Corpodetexto"/>
        <w:rPr>
          <w:sz w:val="20"/>
        </w:rPr>
      </w:pPr>
    </w:p>
    <w:p w:rsidR="00056CD3" w:rsidRDefault="00F76505">
      <w:pPr>
        <w:pStyle w:val="Corpodetexto"/>
        <w:tabs>
          <w:tab w:val="left" w:pos="4134"/>
          <w:tab w:val="right" w:pos="16031"/>
        </w:tabs>
        <w:spacing w:before="271"/>
        <w:ind w:left="155"/>
        <w:rPr>
          <w:sz w:val="14"/>
        </w:rPr>
      </w:pPr>
      <w:bookmarkStart w:id="0" w:name="_GoBack"/>
      <w:bookmarkEnd w:id="0"/>
      <w:r>
        <w:rPr>
          <w:position w:val="1"/>
        </w:rPr>
        <w:tab/>
      </w:r>
      <w:r>
        <w:rPr>
          <w:sz w:val="14"/>
        </w:rPr>
        <w:t>1</w:t>
      </w:r>
    </w:p>
    <w:sectPr w:rsidR="00056CD3">
      <w:type w:val="continuous"/>
      <w:pgSz w:w="16840" w:h="11910" w:orient="landscape"/>
      <w:pgMar w:top="700" w:right="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3"/>
    <w:rsid w:val="00056CD3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1523-67C3-473D-84A7-640BF30E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 w:line="15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Seagate Crystal Reports - Anexo</vt:lpstr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Anexo</dc:title>
  <dc:creator>Katiuscia</dc:creator>
  <cp:lastModifiedBy>Katiuscia</cp:lastModifiedBy>
  <cp:revision>2</cp:revision>
  <dcterms:created xsi:type="dcterms:W3CDTF">2020-03-11T13:48:00Z</dcterms:created>
  <dcterms:modified xsi:type="dcterms:W3CDTF">2020-03-11T13:48:00Z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2020-03-11T00:00:00Z</vt:filetime>
  </property>
</Properties>
</file>